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39D50D" w14:textId="77777777" w:rsidR="00977879" w:rsidRDefault="00977879" w:rsidP="00C20645">
      <w:pPr>
        <w:spacing w:line="480" w:lineRule="auto"/>
        <w:rPr>
          <w:rFonts w:ascii="Times New Roman" w:hAnsi="Times New Roman" w:cs="Times New Roman"/>
          <w:sz w:val="24"/>
          <w:szCs w:val="24"/>
        </w:rPr>
      </w:pPr>
      <w:bookmarkStart w:id="0" w:name="_GoBack"/>
    </w:p>
    <w:p w14:paraId="2DAEF8BD" w14:textId="77777777" w:rsidR="00977879" w:rsidRDefault="00977879" w:rsidP="00C20645">
      <w:pPr>
        <w:spacing w:line="480" w:lineRule="auto"/>
        <w:jc w:val="center"/>
        <w:rPr>
          <w:rFonts w:ascii="Times New Roman" w:hAnsi="Times New Roman" w:cs="Times New Roman"/>
          <w:sz w:val="24"/>
          <w:szCs w:val="24"/>
        </w:rPr>
      </w:pPr>
    </w:p>
    <w:p w14:paraId="2C893A29" w14:textId="77777777" w:rsidR="00977879" w:rsidRDefault="00445E83" w:rsidP="00C20645">
      <w:pPr>
        <w:spacing w:line="480" w:lineRule="auto"/>
        <w:jc w:val="center"/>
        <w:rPr>
          <w:rFonts w:ascii="Times New Roman" w:hAnsi="Times New Roman" w:cs="Times New Roman"/>
          <w:sz w:val="24"/>
          <w:szCs w:val="24"/>
        </w:rPr>
      </w:pPr>
      <w:r>
        <w:rPr>
          <w:rFonts w:ascii="Times New Roman" w:hAnsi="Times New Roman" w:cs="Times New Roman"/>
          <w:bCs/>
          <w:sz w:val="24"/>
          <w:szCs w:val="24"/>
        </w:rPr>
        <w:t>CITIZENS AND SUPREME COURT CASE</w:t>
      </w:r>
    </w:p>
    <w:p w14:paraId="27890605" w14:textId="77777777" w:rsidR="00977879" w:rsidRDefault="00445E83" w:rsidP="00C2064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14:paraId="4EB8C076" w14:textId="77777777" w:rsidR="00977879" w:rsidRDefault="00445E83" w:rsidP="00C206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0BC561F" w14:textId="77777777" w:rsidR="00977879" w:rsidRDefault="00977879" w:rsidP="00C20645">
      <w:pPr>
        <w:spacing w:line="480" w:lineRule="auto"/>
        <w:jc w:val="both"/>
        <w:rPr>
          <w:rFonts w:ascii="Times New Roman" w:hAnsi="Times New Roman" w:cs="Times New Roman"/>
          <w:sz w:val="24"/>
          <w:szCs w:val="24"/>
        </w:rPr>
      </w:pPr>
    </w:p>
    <w:p w14:paraId="7440A246" w14:textId="77777777" w:rsidR="00977879" w:rsidRDefault="00977879" w:rsidP="00C20645">
      <w:pPr>
        <w:spacing w:line="480" w:lineRule="auto"/>
        <w:jc w:val="both"/>
        <w:rPr>
          <w:rFonts w:ascii="Times New Roman" w:hAnsi="Times New Roman" w:cs="Times New Roman"/>
          <w:sz w:val="24"/>
          <w:szCs w:val="24"/>
        </w:rPr>
      </w:pPr>
    </w:p>
    <w:p w14:paraId="6E9E4E6A" w14:textId="77777777" w:rsidR="00977879" w:rsidRDefault="00977879" w:rsidP="00C20645">
      <w:pPr>
        <w:spacing w:line="480" w:lineRule="auto"/>
        <w:jc w:val="both"/>
        <w:rPr>
          <w:rFonts w:ascii="Times New Roman" w:hAnsi="Times New Roman" w:cs="Times New Roman"/>
          <w:sz w:val="24"/>
          <w:szCs w:val="24"/>
        </w:rPr>
      </w:pPr>
    </w:p>
    <w:p w14:paraId="4A33236E" w14:textId="77777777" w:rsidR="00977879" w:rsidRDefault="00977879" w:rsidP="00C20645">
      <w:pPr>
        <w:spacing w:line="480" w:lineRule="auto"/>
        <w:jc w:val="both"/>
        <w:rPr>
          <w:rFonts w:ascii="Times New Roman" w:hAnsi="Times New Roman" w:cs="Times New Roman"/>
          <w:sz w:val="24"/>
          <w:szCs w:val="24"/>
        </w:rPr>
      </w:pPr>
    </w:p>
    <w:p w14:paraId="26E31498" w14:textId="77777777" w:rsidR="00977879" w:rsidRDefault="00977879" w:rsidP="00C20645">
      <w:pPr>
        <w:spacing w:line="480" w:lineRule="auto"/>
        <w:jc w:val="both"/>
        <w:rPr>
          <w:rFonts w:ascii="Times New Roman" w:hAnsi="Times New Roman" w:cs="Times New Roman"/>
          <w:sz w:val="24"/>
          <w:szCs w:val="24"/>
        </w:rPr>
      </w:pPr>
    </w:p>
    <w:p w14:paraId="7099D8B1" w14:textId="77777777" w:rsidR="00977879" w:rsidRDefault="00977879" w:rsidP="00C20645">
      <w:pPr>
        <w:spacing w:line="480" w:lineRule="auto"/>
        <w:jc w:val="both"/>
        <w:rPr>
          <w:rFonts w:ascii="Times New Roman" w:hAnsi="Times New Roman" w:cs="Times New Roman"/>
          <w:sz w:val="24"/>
          <w:szCs w:val="24"/>
        </w:rPr>
      </w:pPr>
    </w:p>
    <w:p w14:paraId="591AF775" w14:textId="77777777" w:rsidR="00977879" w:rsidRDefault="00977879" w:rsidP="00C20645">
      <w:pPr>
        <w:spacing w:line="480" w:lineRule="auto"/>
        <w:jc w:val="both"/>
        <w:rPr>
          <w:rFonts w:ascii="Times New Roman" w:hAnsi="Times New Roman" w:cs="Times New Roman"/>
          <w:sz w:val="24"/>
          <w:szCs w:val="24"/>
        </w:rPr>
      </w:pPr>
    </w:p>
    <w:p w14:paraId="7A9438C3" w14:textId="77777777" w:rsidR="00977879" w:rsidRDefault="00977879" w:rsidP="00C20645">
      <w:pPr>
        <w:spacing w:line="480" w:lineRule="auto"/>
        <w:jc w:val="both"/>
        <w:rPr>
          <w:rFonts w:ascii="Times New Roman" w:hAnsi="Times New Roman" w:cs="Times New Roman"/>
          <w:sz w:val="24"/>
          <w:szCs w:val="24"/>
        </w:rPr>
      </w:pPr>
    </w:p>
    <w:p w14:paraId="23529B4F" w14:textId="77777777" w:rsidR="00977879" w:rsidRDefault="00977879" w:rsidP="00C20645">
      <w:pPr>
        <w:spacing w:line="480" w:lineRule="auto"/>
        <w:jc w:val="both"/>
        <w:rPr>
          <w:rFonts w:ascii="Times New Roman" w:hAnsi="Times New Roman" w:cs="Times New Roman"/>
          <w:sz w:val="24"/>
          <w:szCs w:val="24"/>
        </w:rPr>
      </w:pPr>
    </w:p>
    <w:p w14:paraId="331CF2F4" w14:textId="77777777" w:rsidR="00977879" w:rsidRDefault="00977879" w:rsidP="00C20645">
      <w:pPr>
        <w:spacing w:line="480" w:lineRule="auto"/>
        <w:jc w:val="both"/>
        <w:rPr>
          <w:rFonts w:ascii="Times New Roman" w:hAnsi="Times New Roman" w:cs="Times New Roman"/>
          <w:sz w:val="24"/>
          <w:szCs w:val="24"/>
        </w:rPr>
      </w:pPr>
    </w:p>
    <w:p w14:paraId="78A13887" w14:textId="77777777" w:rsidR="00977879" w:rsidRDefault="00977879" w:rsidP="00C20645">
      <w:pPr>
        <w:spacing w:line="480" w:lineRule="auto"/>
        <w:jc w:val="both"/>
        <w:rPr>
          <w:rFonts w:ascii="Times New Roman" w:hAnsi="Times New Roman" w:cs="Times New Roman"/>
          <w:sz w:val="24"/>
          <w:szCs w:val="24"/>
        </w:rPr>
      </w:pPr>
    </w:p>
    <w:p w14:paraId="5C029498" w14:textId="77777777" w:rsidR="00977879" w:rsidRDefault="00977879" w:rsidP="00C20645">
      <w:pPr>
        <w:spacing w:line="480" w:lineRule="auto"/>
        <w:jc w:val="both"/>
        <w:rPr>
          <w:rFonts w:ascii="Times New Roman" w:hAnsi="Times New Roman" w:cs="Times New Roman"/>
          <w:sz w:val="24"/>
          <w:szCs w:val="24"/>
        </w:rPr>
      </w:pPr>
    </w:p>
    <w:p w14:paraId="6A0B674E" w14:textId="77777777" w:rsidR="00977879" w:rsidRDefault="00977879" w:rsidP="00C20645">
      <w:pPr>
        <w:spacing w:line="480" w:lineRule="auto"/>
        <w:jc w:val="both"/>
        <w:rPr>
          <w:rFonts w:ascii="Times New Roman" w:hAnsi="Times New Roman" w:cs="Times New Roman"/>
          <w:sz w:val="24"/>
          <w:szCs w:val="24"/>
        </w:rPr>
      </w:pPr>
    </w:p>
    <w:p w14:paraId="5286FE3E" w14:textId="77777777" w:rsidR="00977879" w:rsidRDefault="00445E83" w:rsidP="00C20645">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Introduction</w:t>
      </w:r>
    </w:p>
    <w:p w14:paraId="1FD46160" w14:textId="77777777" w:rsidR="00977879" w:rsidRDefault="00445E83" w:rsidP="00C206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Citizen United is a non-profit organization in the United States of America which was formed in November, 1988 by Floyd Brown, a longtime Washington </w:t>
      </w:r>
      <w:r>
        <w:rPr>
          <w:rFonts w:ascii="Times New Roman" w:hAnsi="Times New Roman" w:cs="Times New Roman"/>
          <w:sz w:val="24"/>
          <w:szCs w:val="24"/>
        </w:rPr>
        <w:t>political consultant. It aims at restoring the government of United States to ‘citizens’ control through various functions which involves combination of education and advocacy, promoting freedom of enterprises, having strong families, and national sovereig</w:t>
      </w:r>
      <w:r>
        <w:rPr>
          <w:rFonts w:ascii="Times New Roman" w:hAnsi="Times New Roman" w:cs="Times New Roman"/>
          <w:sz w:val="24"/>
          <w:szCs w:val="24"/>
        </w:rPr>
        <w:t>nty and security just to mention a few. Citizen United produces TV commercial, web adverts and documentaries in an effort to meet its mission and goals. The Citizens United is mostly known for the major role it plays in the advocacy of Political Conservati</w:t>
      </w:r>
      <w:r>
        <w:rPr>
          <w:rFonts w:ascii="Times New Roman" w:hAnsi="Times New Roman" w:cs="Times New Roman"/>
          <w:sz w:val="24"/>
          <w:szCs w:val="24"/>
        </w:rPr>
        <w:t>on. An example it the advertisement which revealed actions taken by John McCain of Legislation and aired by Fox News. It has also been it the first line in suing various leader who are involved in covering major scandals which affects the United States cit</w:t>
      </w:r>
      <w:r>
        <w:rPr>
          <w:rFonts w:ascii="Times New Roman" w:hAnsi="Times New Roman" w:cs="Times New Roman"/>
          <w:sz w:val="24"/>
          <w:szCs w:val="24"/>
        </w:rPr>
        <w:t>izehtml</w:t>
      </w:r>
    </w:p>
    <w:p w14:paraId="31A852FA" w14:textId="77777777" w:rsidR="00977879" w:rsidRDefault="00977879" w:rsidP="00C20645">
      <w:pPr>
        <w:spacing w:line="480" w:lineRule="auto"/>
        <w:ind w:firstLine="720"/>
        <w:jc w:val="both"/>
        <w:rPr>
          <w:rFonts w:ascii="Times New Roman" w:hAnsi="Times New Roman" w:cs="Times New Roman"/>
          <w:sz w:val="24"/>
          <w:szCs w:val="24"/>
        </w:rPr>
      </w:pPr>
    </w:p>
    <w:p w14:paraId="21841604" w14:textId="77777777" w:rsidR="00977879" w:rsidRDefault="00977879" w:rsidP="00C20645">
      <w:pPr>
        <w:spacing w:line="480" w:lineRule="auto"/>
        <w:ind w:firstLine="720"/>
        <w:jc w:val="both"/>
        <w:rPr>
          <w:rFonts w:ascii="Times New Roman" w:hAnsi="Times New Roman" w:cs="Times New Roman"/>
          <w:sz w:val="24"/>
          <w:szCs w:val="24"/>
        </w:rPr>
      </w:pPr>
    </w:p>
    <w:p w14:paraId="634D5F15" w14:textId="77777777" w:rsidR="00977879" w:rsidRDefault="00977879" w:rsidP="00C20645">
      <w:pPr>
        <w:spacing w:line="480" w:lineRule="auto"/>
        <w:ind w:firstLine="720"/>
        <w:jc w:val="both"/>
        <w:rPr>
          <w:rFonts w:ascii="Times New Roman" w:hAnsi="Times New Roman" w:cs="Times New Roman"/>
          <w:sz w:val="24"/>
          <w:szCs w:val="24"/>
        </w:rPr>
      </w:pPr>
    </w:p>
    <w:p w14:paraId="2A459B59" w14:textId="77777777" w:rsidR="00977879" w:rsidRDefault="00445E83" w:rsidP="00C206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Back in 2010, the Citizen United won a Supreme Court against Federal Electoral Commission. The case was a landmark as it dealt with the regulation of political campaign spending by the organization. It incorporated the U.S constitutional law, ca</w:t>
      </w:r>
      <w:r>
        <w:rPr>
          <w:rFonts w:ascii="Times New Roman" w:hAnsi="Times New Roman" w:cs="Times New Roman"/>
          <w:sz w:val="24"/>
          <w:szCs w:val="24"/>
        </w:rPr>
        <w:t xml:space="preserve">mpaign finance and the corporate law. The Supreme Court acknowledged the free speech clause of the First Amendment which prohibits the government from restricting independent expenditure for communication by corporations and other organizations (Cillizza, </w:t>
      </w:r>
      <w:r>
        <w:rPr>
          <w:rFonts w:ascii="Times New Roman" w:hAnsi="Times New Roman" w:cs="Times New Roman"/>
          <w:sz w:val="24"/>
          <w:szCs w:val="24"/>
        </w:rPr>
        <w:t xml:space="preserve">Chris, 2014). The Supreme Court decision was and is still a highly controversial subject spread out widely among the public and in their discussions  </w:t>
      </w:r>
    </w:p>
    <w:p w14:paraId="4B655C54" w14:textId="77777777" w:rsidR="00977879" w:rsidRDefault="00445E83" w:rsidP="00C20645">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Impacts of Citizens United on the Conduct of Campaign for Federal offices</w:t>
      </w:r>
    </w:p>
    <w:p w14:paraId="0A93E8CC" w14:textId="77777777" w:rsidR="00977879" w:rsidRDefault="00445E83" w:rsidP="00C206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Since the passing of the Federal Election Campaign Act of 1971, which shaped the rules and brought about changes to Congress. This was in an that in that it dealt with electoral and campaign spending and fundraising by parties. But as from 2010, all this c</w:t>
      </w:r>
      <w:r>
        <w:rPr>
          <w:rFonts w:ascii="Times New Roman" w:hAnsi="Times New Roman" w:cs="Times New Roman"/>
          <w:sz w:val="24"/>
          <w:szCs w:val="24"/>
        </w:rPr>
        <w:t>hanged as the as the restrictions were eased and doors were opened to potential donors and spenders who have limits on their expenditure (Bob Biersack, 2018). The changes appear to be modest at the high level but no growth has been noticed in congressional</w:t>
      </w:r>
      <w:r>
        <w:rPr>
          <w:rFonts w:ascii="Times New Roman" w:hAnsi="Times New Roman" w:cs="Times New Roman"/>
          <w:sz w:val="24"/>
          <w:szCs w:val="24"/>
        </w:rPr>
        <w:t xml:space="preserve"> election spending. The presidential campaigns tend to be idiosyncratic in nature and there spending has reduced since the Supreme Court decision. The spending which used to be direct has declined on the side of Senate candidates. The decrease was 748 mill</w:t>
      </w:r>
      <w:r>
        <w:rPr>
          <w:rFonts w:ascii="Times New Roman" w:hAnsi="Times New Roman" w:cs="Times New Roman"/>
          <w:sz w:val="24"/>
          <w:szCs w:val="24"/>
        </w:rPr>
        <w:t>ion dollars in 2012 to 625 million dollars in 2016 elections. The distribution changes from one election cycle to another. House spending also dropped from 1 billion dollars to 970 million dollars between 2012-2016. Parties are complicated and due to the i</w:t>
      </w:r>
      <w:r>
        <w:rPr>
          <w:rFonts w:ascii="Times New Roman" w:hAnsi="Times New Roman" w:cs="Times New Roman"/>
          <w:sz w:val="24"/>
          <w:szCs w:val="24"/>
        </w:rPr>
        <w:t>mpacts on presidential campaigns and fundraising have also taken change in the recent years compared to the years before 2010 and below.</w:t>
      </w:r>
    </w:p>
    <w:p w14:paraId="67568B43" w14:textId="77777777" w:rsidR="00977879" w:rsidRDefault="00445E83" w:rsidP="00C206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impact as the result of the Supreme Court ruling is that a candidate can have unlimited independent amount of m</w:t>
      </w:r>
      <w:r>
        <w:rPr>
          <w:rFonts w:ascii="Times New Roman" w:hAnsi="Times New Roman" w:cs="Times New Roman"/>
          <w:sz w:val="24"/>
          <w:szCs w:val="24"/>
        </w:rPr>
        <w:t>oney from there parties. They can spend as much as the candidate wants under the condition that the funding does not come from the federal government. So, a candidate can get many donors to provide funding or the Party gets to fund the candidate independen</w:t>
      </w:r>
      <w:r>
        <w:rPr>
          <w:rFonts w:ascii="Times New Roman" w:hAnsi="Times New Roman" w:cs="Times New Roman"/>
          <w:sz w:val="24"/>
          <w:szCs w:val="24"/>
        </w:rPr>
        <w:t>tly. Other groups and organizations which never had a say in the elections and campaign can now fund for the success and failure of a candidate as their primary purpose for funding the individual for federal office is purely electoral politics.</w:t>
      </w:r>
    </w:p>
    <w:p w14:paraId="7E29692B" w14:textId="77777777" w:rsidR="00977879" w:rsidRDefault="00445E83" w:rsidP="00C206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Another imp</w:t>
      </w:r>
      <w:r>
        <w:rPr>
          <w:rFonts w:ascii="Times New Roman" w:hAnsi="Times New Roman" w:cs="Times New Roman"/>
          <w:sz w:val="24"/>
          <w:szCs w:val="24"/>
        </w:rPr>
        <w:t>act of the Citizen United image of the Supreme Court case to the federal office is that it led to the emergence and creation of super PACs. They are to be some kind of committees use to raise unlimited amounts of money for election cycle. The PACs acts sha</w:t>
      </w:r>
      <w:r>
        <w:rPr>
          <w:rFonts w:ascii="Times New Roman" w:hAnsi="Times New Roman" w:cs="Times New Roman"/>
          <w:sz w:val="24"/>
          <w:szCs w:val="24"/>
        </w:rPr>
        <w:t xml:space="preserve">dow political parties </w:t>
      </w:r>
      <w:r>
        <w:rPr>
          <w:rFonts w:ascii="Times New Roman" w:hAnsi="Times New Roman" w:cs="Times New Roman"/>
          <w:sz w:val="24"/>
          <w:szCs w:val="24"/>
        </w:rPr>
        <w:lastRenderedPageBreak/>
        <w:t>which accept millions of dollars from enormous donors who include casino magnates, billionaire, corporations and unions. This is for the purpose of rallying people to vote for or against a certain candidate in election time and cycles</w:t>
      </w:r>
      <w:r>
        <w:rPr>
          <w:rFonts w:ascii="Times New Roman" w:hAnsi="Times New Roman" w:cs="Times New Roman"/>
          <w:sz w:val="24"/>
          <w:szCs w:val="24"/>
        </w:rPr>
        <w:t>. An example Sheldon Adelson and his family gave out 40 million dollars to the super PACs. The Court also said the PACs should produce report regularly showing information about their donors. Apart from super PACs, social welfares and non-profit organizati</w:t>
      </w:r>
      <w:r>
        <w:rPr>
          <w:rFonts w:ascii="Times New Roman" w:hAnsi="Times New Roman" w:cs="Times New Roman"/>
          <w:sz w:val="24"/>
          <w:szCs w:val="24"/>
        </w:rPr>
        <w:t>on now have the privilege of being able to be involved in campaign under the condition that politic is not their primary function. This has impacted on federal campaign as they were now influence by small groups which before had no say in campaign matters.</w:t>
      </w:r>
      <w:r>
        <w:rPr>
          <w:rFonts w:ascii="Times New Roman" w:hAnsi="Times New Roman" w:cs="Times New Roman"/>
          <w:sz w:val="24"/>
          <w:szCs w:val="24"/>
        </w:rPr>
        <w:t xml:space="preserve"> This has rendered the Tillman Act and the Taft-Hartery Act a bit powerless. Spending is speech and it is protected by the constitution, making social welfares, labor unions and organization speakers. It still illegal for the unions, companies and welfares</w:t>
      </w:r>
      <w:r>
        <w:rPr>
          <w:rFonts w:ascii="Times New Roman" w:hAnsi="Times New Roman" w:cs="Times New Roman"/>
          <w:sz w:val="24"/>
          <w:szCs w:val="24"/>
        </w:rPr>
        <w:t xml:space="preserve"> to directly give money to candidates in federal offices or vying for federal offices directly.</w:t>
      </w:r>
    </w:p>
    <w:p w14:paraId="15B4A30A" w14:textId="77777777" w:rsidR="00977879" w:rsidRDefault="00445E83" w:rsidP="00C2064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Another impact is that there was the emergency of the majority opinion which granted a writ of Certiorari and the state would work on preventing corruption and </w:t>
      </w:r>
      <w:r>
        <w:rPr>
          <w:rFonts w:ascii="Times New Roman" w:hAnsi="Times New Roman" w:cs="Times New Roman"/>
          <w:sz w:val="24"/>
          <w:szCs w:val="24"/>
        </w:rPr>
        <w:t xml:space="preserve">its appearance from the trough compelling them by constitutional sections (Brian Duignan, 2010). This is because of the individual expenditure in the campaign both at the congressional and presidential level. The corporate power of speech during elections </w:t>
      </w:r>
      <w:r>
        <w:rPr>
          <w:rFonts w:ascii="Times New Roman" w:hAnsi="Times New Roman" w:cs="Times New Roman"/>
          <w:sz w:val="24"/>
          <w:szCs w:val="24"/>
        </w:rPr>
        <w:t>has impoverished rather that increase the ideas needed for democracy. The Senate and the Congress have had to adopt more and limited measure to protect themselves against corporate dominion the election cycle. There has also been campaign reform that follo</w:t>
      </w:r>
      <w:r>
        <w:rPr>
          <w:rFonts w:ascii="Times New Roman" w:hAnsi="Times New Roman" w:cs="Times New Roman"/>
          <w:sz w:val="24"/>
          <w:szCs w:val="24"/>
        </w:rPr>
        <w:t>wed after the Supreme Court ruling. The Citizens United made this possible by empowering the freedom of speech and coming to a balance.</w:t>
      </w:r>
    </w:p>
    <w:p w14:paraId="4DDF7965" w14:textId="77777777" w:rsidR="00977879" w:rsidRDefault="00977879" w:rsidP="00C20645">
      <w:pPr>
        <w:spacing w:line="480" w:lineRule="auto"/>
        <w:ind w:firstLine="720"/>
        <w:jc w:val="both"/>
        <w:rPr>
          <w:rFonts w:ascii="Times New Roman" w:hAnsi="Times New Roman" w:cs="Times New Roman"/>
          <w:sz w:val="24"/>
          <w:szCs w:val="24"/>
        </w:rPr>
      </w:pPr>
    </w:p>
    <w:p w14:paraId="556BB812" w14:textId="1C854D6F" w:rsidR="00C20645" w:rsidRPr="00C20645" w:rsidRDefault="00445E83" w:rsidP="00C20645">
      <w:pPr>
        <w:pStyle w:val="Heading1"/>
        <w:spacing w:line="48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lastRenderedPageBreak/>
        <w:t>References</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BIBLIOGRAPHY </w:instrText>
      </w:r>
      <w:r>
        <w:rPr>
          <w:rFonts w:ascii="Times New Roman" w:hAnsi="Times New Roman" w:cs="Times New Roman"/>
          <w:sz w:val="24"/>
          <w:szCs w:val="24"/>
        </w:rPr>
        <w:fldChar w:fldCharType="separate"/>
      </w:r>
    </w:p>
    <w:p w14:paraId="241F5FBF" w14:textId="0662BFF2" w:rsidR="00C20645" w:rsidRDefault="00C20645" w:rsidP="00C20645">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Biersack, B. (2018). 8 Years Later: How Citizens United changed campaign finance. Retrieve 05 23, 2019 from http://www.opensecrets.org/news/2018/02/how-citizens-united-changed-campaign-finance/ </w:t>
      </w:r>
    </w:p>
    <w:p w14:paraId="47F14E73" w14:textId="02E042B6" w:rsidR="00977879" w:rsidRDefault="00977879" w:rsidP="00C20645">
      <w:pPr>
        <w:spacing w:line="480" w:lineRule="auto"/>
        <w:ind w:left="720" w:hanging="720"/>
        <w:jc w:val="both"/>
        <w:rPr>
          <w:rFonts w:ascii="Times New Roman" w:hAnsi="Times New Roman" w:cs="Times New Roman"/>
          <w:noProof/>
          <w:sz w:val="24"/>
          <w:szCs w:val="24"/>
        </w:rPr>
      </w:pPr>
    </w:p>
    <w:p w14:paraId="6402D756" w14:textId="77777777" w:rsidR="00C20645" w:rsidRDefault="00445E83" w:rsidP="00C20645">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Cillizza, C. (2014). How Citizens United Changed Politics, in 7 Charts. Retrieve 05 23, 2019, from https://www.</w:t>
      </w:r>
      <w:r>
        <w:rPr>
          <w:rFonts w:ascii="Times New Roman" w:hAnsi="Times New Roman" w:cs="Times New Roman"/>
          <w:noProof/>
          <w:sz w:val="24"/>
          <w:szCs w:val="24"/>
        </w:rPr>
        <w:t xml:space="preserve">washingtonpost.com/news/the-fix/wp/2014/01/21/how-citizens-united-changed-politics-in-6-charts/?utm_term=.ed777a6270c6 </w:t>
      </w:r>
    </w:p>
    <w:p w14:paraId="4172FB9D" w14:textId="3C84217E" w:rsidR="00977879" w:rsidRDefault="00445E83" w:rsidP="00C20645">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Duignan, B. (2010). Citizens United v. Federal Election Commission: LAW CASE. Retrieved 05 23, 2019, from https://www.britannica.com/even</w:t>
      </w:r>
      <w:r>
        <w:rPr>
          <w:rFonts w:ascii="Times New Roman" w:hAnsi="Times New Roman" w:cs="Times New Roman"/>
          <w:noProof/>
          <w:sz w:val="24"/>
          <w:szCs w:val="24"/>
        </w:rPr>
        <w:t>t/Citizens-United-v-Federal-Election-Commission</w:t>
      </w:r>
    </w:p>
    <w:p w14:paraId="3405B53E" w14:textId="5A06D687" w:rsidR="00C20645" w:rsidRDefault="00C20645" w:rsidP="00C20645">
      <w:pPr>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Stempel, J. (2015). Citizens United loses New York ruling over donors. Retrieve 05 23, 2019, from https://www.reuters.com/article/us-citizensunited-new-york-lawsuit-idUSKCN0Q11YA20150727 Tharoor, I. (2010). Top 10 Controversial Supreme Court Cases. Retrieve 05 23, 2019, from http://content.time.com/time/specials/packages/article/0,28804,2036448_2036452_2036</w:t>
      </w:r>
    </w:p>
    <w:p w14:paraId="732B8DD9" w14:textId="77777777" w:rsidR="00977879" w:rsidRDefault="00445E83" w:rsidP="00C20645">
      <w:pPr>
        <w:pStyle w:val="Bibliography"/>
        <w:spacing w:line="48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14:paraId="68EDB989" w14:textId="77777777" w:rsidR="00977879" w:rsidRDefault="00445E83" w:rsidP="00C20645">
      <w:pPr>
        <w:spacing w:line="480" w:lineRule="auto"/>
        <w:jc w:val="both"/>
        <w:rPr>
          <w:rFonts w:ascii="Times New Roman" w:hAnsi="Times New Roman" w:cs="Times New Roman"/>
          <w:sz w:val="24"/>
          <w:szCs w:val="24"/>
        </w:rPr>
      </w:pPr>
      <w:r>
        <w:rPr>
          <w:rFonts w:ascii="Times New Roman" w:hAnsi="Times New Roman" w:cs="Times New Roman"/>
          <w:b/>
          <w:bCs/>
          <w:noProof/>
          <w:sz w:val="24"/>
          <w:szCs w:val="24"/>
        </w:rPr>
        <w:fldChar w:fldCharType="end"/>
      </w:r>
    </w:p>
    <w:p w14:paraId="02F3B8C8" w14:textId="77777777" w:rsidR="00977879" w:rsidRDefault="00977879" w:rsidP="00C20645">
      <w:pPr>
        <w:spacing w:line="480" w:lineRule="auto"/>
      </w:pPr>
    </w:p>
    <w:bookmarkEnd w:id="0"/>
    <w:p w14:paraId="5B04755F" w14:textId="77777777" w:rsidR="00977879" w:rsidRDefault="00977879" w:rsidP="00C20645">
      <w:pPr>
        <w:spacing w:line="480" w:lineRule="auto"/>
      </w:pPr>
    </w:p>
    <w:sectPr w:rsidR="00977879">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C365A" w14:textId="77777777" w:rsidR="00445E83" w:rsidRDefault="00445E83">
      <w:pPr>
        <w:spacing w:after="0" w:line="240" w:lineRule="auto"/>
      </w:pPr>
      <w:r>
        <w:separator/>
      </w:r>
    </w:p>
  </w:endnote>
  <w:endnote w:type="continuationSeparator" w:id="0">
    <w:p w14:paraId="5A29DF53" w14:textId="77777777" w:rsidR="00445E83" w:rsidRDefault="00445E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D2E42" w14:textId="77777777" w:rsidR="00445E83" w:rsidRDefault="00445E83">
      <w:pPr>
        <w:spacing w:after="0" w:line="240" w:lineRule="auto"/>
      </w:pPr>
      <w:r>
        <w:separator/>
      </w:r>
    </w:p>
  </w:footnote>
  <w:footnote w:type="continuationSeparator" w:id="0">
    <w:p w14:paraId="3183723F" w14:textId="77777777" w:rsidR="00445E83" w:rsidRDefault="00445E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FDD881" w14:textId="77777777" w:rsidR="00977879" w:rsidRDefault="00445E83">
    <w:pPr>
      <w:pStyle w:val="Header"/>
      <w:rPr>
        <w:rFonts w:ascii="Times New Roman" w:hAnsi="Times New Roman" w:cs="Times New Roman"/>
        <w:sz w:val="24"/>
      </w:rPr>
    </w:pPr>
    <w:r>
      <w:rPr>
        <w:rFonts w:ascii="Times New Roman" w:hAnsi="Times New Roman" w:cs="Times New Roman"/>
        <w:sz w:val="24"/>
      </w:rPr>
      <w:t>CITIZENS</w:t>
    </w:r>
  </w:p>
  <w:p w14:paraId="2A67B4B7" w14:textId="77777777" w:rsidR="00977879" w:rsidRDefault="00977879">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04ADC2" w14:textId="77777777" w:rsidR="00977879" w:rsidRDefault="00445E83">
    <w:pPr>
      <w:pStyle w:val="Header"/>
      <w:rPr>
        <w:rFonts w:ascii="Times New Roman" w:hAnsi="Times New Roman" w:cs="Times New Roman"/>
        <w:sz w:val="24"/>
      </w:rPr>
    </w:pPr>
    <w:r>
      <w:rPr>
        <w:rFonts w:ascii="Times New Roman" w:hAnsi="Times New Roman" w:cs="Times New Roman"/>
        <w:sz w:val="24"/>
      </w:rPr>
      <w:t>Running Head: CITIZENS</w:t>
    </w:r>
  </w:p>
  <w:p w14:paraId="638AB308" w14:textId="77777777" w:rsidR="00977879" w:rsidRDefault="009778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879"/>
    <w:rsid w:val="00445E83"/>
    <w:rsid w:val="00977879"/>
    <w:rsid w:val="00C20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5B6CA"/>
  <w15:docId w15:val="{D3EAC3F3-ED1F-48A1-94BC-32945CDB7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Calibri Light" w:eastAsia="SimSun" w:hAnsi="Calibri Light"/>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Calibri Light" w:eastAsia="SimSun" w:hAnsi="Calibri Light" w:cs="SimSun"/>
      <w:color w:val="2F5496"/>
      <w:sz w:val="32"/>
      <w:szCs w:val="32"/>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Bibliography">
    <w:name w:val="Bibliography"/>
    <w:basedOn w:val="Normal"/>
    <w:next w:val="Normal"/>
    <w:uiPriority w:val="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Mic04</b:Tag>
    <b:SourceType>Film</b:SourceType>
    <b:Guid>{FAFA782B-C6F1-40FE-8AC9-4786287A86E0}</b:Guid>
    <b:Title>Fahrenheit</b:Title>
    <b:Year>2004</b:Year>
    <b:Author>
      <b:Director>
        <b:NameList>
          <b:Person>
            <b:Last>Moore</b:Last>
            <b:First>Michael</b:First>
          </b:Person>
        </b:NameList>
      </b:Director>
    </b:Author>
    <b:RefOrder>1</b:RefOrder>
  </b:Source>
  <b:Source>
    <b:Tag>Ste15</b:Tag>
    <b:SourceType>Book</b:SourceType>
    <b:Guid>{B51DB705-35CC-4F99-B60A-C884245C8B31}</b:Guid>
    <b:Title>Citizen United Losses New York rulling over donors</b:Title>
    <b:Year>2015</b:Year>
    <b:City>New York</b:City>
    <b:Author>
      <b:Author>
        <b:NameList>
          <b:Person>
            <b:Last>Stempel</b:Last>
            <b:First>Jonathan</b:First>
          </b:Person>
        </b:NameList>
      </b:Author>
    </b:Author>
    <b:RefOrder>2</b:RefOrder>
  </b:Source>
  <b:Source>
    <b:Tag>Cil14</b:Tag>
    <b:SourceType>Book</b:SourceType>
    <b:Guid>{D7526579-FB70-4D61-8AB0-743952365288}</b:Guid>
    <b:Author>
      <b:Author>
        <b:NameList>
          <b:Person>
            <b:Last>Cillizza</b:Last>
            <b:First>Chris</b:First>
          </b:Person>
        </b:NameList>
      </b:Author>
    </b:Author>
    <b:Title>How Citizens United changed Politics, in 7 Charts</b:Title>
    <b:Year>January 24, 2014</b:Year>
    <b:Publisher>Washington Post</b:Publisher>
    <b:RefOrder>3</b:RefOrder>
  </b:Source>
  <b:Source>
    <b:Tag>Tha10</b:Tag>
    <b:SourceType>Book</b:SourceType>
    <b:Guid>{CBE92F8C-B91B-4003-B6D4-4D9B8254ADAA}</b:Guid>
    <b:Author>
      <b:Author>
        <b:NameList>
          <b:Person>
            <b:Last>Tharoor</b:Last>
            <b:First>Ishaan</b:First>
          </b:Person>
        </b:NameList>
      </b:Author>
    </b:Author>
    <b:Title>Top 10 Controversial Supreme Court Cases </b:Title>
    <b:Year>December 13, 2010</b:Year>
    <b:RefOrder>4</b:RefOrder>
  </b:Source>
  <b:Source>
    <b:Tag>Bie18</b:Tag>
    <b:SourceType>DocumentFromInternetSite</b:SourceType>
    <b:Guid>{F8FF4EF8-0A12-4113-B0C1-DAAC9DD96C38}</b:Guid>
    <b:Author>
      <b:Author>
        <b:NameList>
          <b:Person>
            <b:Last>Biersack</b:Last>
            <b:First>Bob</b:First>
          </b:Person>
        </b:NameList>
      </b:Author>
    </b:Author>
    <b:Title>OpenSerect.org</b:Title>
    <b:Year>2018</b:Year>
    <b:InternetSiteTitle>8 years later: How Citizens United changed campaign finance</b:InternetSiteTitle>
    <b:Month>February</b:Month>
    <b:Day>7</b:Day>
    <b:URL>http://www.opensecrets.org/news/2018/02/how-citizens-united-changed-campaign-finance/</b:URL>
    <b:RefOrder>5</b:RefOrder>
  </b:Source>
  <b:Source>
    <b:Tag>Joh12</b:Tag>
    <b:SourceType>DocumentFromInternetSite</b:SourceType>
    <b:Guid>{1770937D-6C63-41C1-ACBD-DCB0AC22C5E0}</b:Guid>
    <b:Author>
      <b:Author>
        <b:NameList>
          <b:Person>
            <b:Last>Dunbar</b:Last>
            <b:First>John</b:First>
          </b:Person>
        </b:NameList>
      </b:Author>
    </b:Author>
    <b:Title>The Center for Public Integrity</b:Title>
    <b:InternetSiteTitle>PublicIntegrity.org</b:InternetSiteTitle>
    <b:Year>2012</b:Year>
    <b:Month>October</b:Month>
    <b:Day>18</b:Day>
    <b:URL>http://publicintegrity.org/federal-political/the -citizens-united-decision-and-why-it-matters/</b:URL>
    <b:RefOrder>6</b:RefOrder>
  </b:Source>
  <b:Source>
    <b:Tag>Bri10</b:Tag>
    <b:SourceType>DocumentFromInternetSite</b:SourceType>
    <b:Guid>{F2A24B2D-0EDC-4521-B618-AF1658B78198}</b:Guid>
    <b:Author>
      <b:Author>
        <b:NameList>
          <b:Person>
            <b:Last>Duignan</b:Last>
            <b:First>Brian</b:First>
          </b:Person>
        </b:NameList>
      </b:Author>
    </b:Author>
    <b:Title>Britannica Articles</b:Title>
    <b:Year>2010</b:Year>
    <b:Month>January</b:Month>
    <b:Day>21</b:Day>
    <b:URL>http://www.britannica.com/event/Citizens-United-v-Federal-Election-Commision</b:URL>
    <b:RefOrder>7</b:RefOrder>
  </b:Source>
</b:Sources>
</file>

<file path=customXml/itemProps1.xml><?xml version="1.0" encoding="utf-8"?>
<ds:datastoreItem xmlns:ds="http://schemas.openxmlformats.org/officeDocument/2006/customXml" ds:itemID="{45B66B96-9721-4762-84D6-A43945FD7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1005</Words>
  <Characters>5731</Characters>
  <Application>Microsoft Office Word</Application>
  <DocSecurity>0</DocSecurity>
  <Lines>47</Lines>
  <Paragraphs>13</Paragraphs>
  <ScaleCrop>false</ScaleCrop>
  <Company/>
  <LinksUpToDate>false</LinksUpToDate>
  <CharactersWithSpaces>6723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Peter</cp:lastModifiedBy>
  <cp:revision>3</cp:revision>
  <dcterms:created xsi:type="dcterms:W3CDTF">2019-05-23T07:26:00Z</dcterms:created>
  <dcterms:modified xsi:type="dcterms:W3CDTF">2019-05-24T06:39:00Z</dcterms:modified>
</cp:coreProperties>
</file>